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w:t>
      </w:r>
    </w:p>
    <w:p>
      <w:pPr>
        <w:pStyle w:val="0"/>
        <w:rPr>
          <w:rFonts w:hint="default"/>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b w:val="1"/>
          <w:sz w:val="28"/>
        </w:rPr>
        <w:t>202</w:t>
      </w:r>
      <w:r>
        <w:rPr>
          <w:rFonts w:hint="default" w:asciiTheme="majorEastAsia" w:hAnsiTheme="majorEastAsia" w:eastAsiaTheme="majorEastAsia"/>
          <w:b w:val="1"/>
          <w:sz w:val="28"/>
        </w:rPr>
        <w:t>0</w:t>
      </w:r>
      <w:r>
        <w:rPr>
          <w:rFonts w:hint="eastAsia" w:asciiTheme="majorEastAsia" w:hAnsiTheme="majorEastAsia" w:eastAsiaTheme="majorEastAsia"/>
          <w:b w:val="1"/>
          <w:sz w:val="28"/>
        </w:rPr>
        <w:t>年度八郎潟町</w:t>
      </w:r>
      <w:r>
        <w:rPr>
          <w:rFonts w:hint="default" w:asciiTheme="majorEastAsia" w:hAnsiTheme="majorEastAsia" w:eastAsiaTheme="majorEastAsia"/>
          <w:b w:val="1"/>
          <w:sz w:val="28"/>
        </w:rPr>
        <w:t>地域農業</w:t>
      </w:r>
      <w:r>
        <w:rPr>
          <w:rFonts w:hint="eastAsia" w:asciiTheme="majorEastAsia" w:hAnsiTheme="majorEastAsia" w:eastAsiaTheme="majorEastAsia"/>
          <w:b w:val="1"/>
          <w:sz w:val="28"/>
        </w:rPr>
        <w:t>再生協議会水田フル活用ビジョン</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b w:val="1"/>
          <w:sz w:val="28"/>
          <w:bdr w:val="single" w:color="000000" w:sz="4" w:space="0"/>
        </w:rPr>
      </w:pPr>
      <w:r>
        <w:rPr>
          <w:rFonts w:hint="eastAsia" w:asciiTheme="majorEastAsia" w:hAnsiTheme="majorEastAsia" w:eastAsiaTheme="majorEastAsia"/>
          <w:b w:val="1"/>
          <w:sz w:val="28"/>
          <w:bdr w:val="single" w:color="000000" w:sz="4" w:space="0"/>
        </w:rPr>
        <w:t>１　地域の作物作付の現状、地域が抱える課題</w:t>
      </w:r>
    </w:p>
    <w:p>
      <w:pPr>
        <w:pStyle w:val="0"/>
        <w:rPr>
          <w:rFonts w:hint="default" w:asciiTheme="majorEastAsia" w:hAnsiTheme="majorEastAsia" w:eastAsiaTheme="majorEastAsia"/>
          <w:sz w:val="24"/>
        </w:rPr>
      </w:pPr>
      <w:r>
        <w:rPr>
          <w:rFonts w:hint="eastAsia" w:asciiTheme="majorEastAsia" w:hAnsiTheme="majorEastAsia" w:eastAsiaTheme="majorEastAsia"/>
        </w:rPr>
        <w:t>　</w:t>
      </w:r>
      <w:r>
        <w:rPr>
          <w:rFonts w:hint="eastAsia" w:asciiTheme="majorEastAsia" w:hAnsiTheme="majorEastAsia" w:eastAsiaTheme="majorEastAsia"/>
          <w:sz w:val="24"/>
        </w:rPr>
        <w:t>当該地域は、全耕地面積に占める主食用米面積の割合が令和元年では約６３％であり、転作作物は加工用米、備蓄米、大豆、枝豆が多く、土地利用型作物の担い手への集積が進んでいる。</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主食用米の全国ベースの需要量は毎年</w:t>
      </w:r>
      <w:r>
        <w:rPr>
          <w:rFonts w:hint="eastAsia" w:asciiTheme="majorEastAsia" w:hAnsiTheme="majorEastAsia" w:eastAsiaTheme="majorEastAsia"/>
          <w:sz w:val="24"/>
        </w:rPr>
        <w:t>10</w:t>
      </w:r>
      <w:r>
        <w:rPr>
          <w:rFonts w:hint="eastAsia" w:asciiTheme="majorEastAsia" w:hAnsiTheme="majorEastAsia" w:eastAsiaTheme="majorEastAsia"/>
          <w:sz w:val="24"/>
        </w:rPr>
        <w:t>万トンずつ減少している傾向にあることから、主食用米からの作付転換を図り、輸出用米等の主食用米以外の作物を推進し、水田面積を維持していく必要がある。</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一方、農家の高齢化が進んでおり、農家戸数の減少が見られるとともに、不作付地の拡大が進んでいる。</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そのほか、大豆については排水不良、土壌酸性化などによる単収の低下が問題となっている。</w:t>
      </w:r>
    </w:p>
    <w:p>
      <w:pPr>
        <w:pStyle w:val="0"/>
        <w:jc w:val="left"/>
        <w:rPr>
          <w:rFonts w:hint="default" w:asciiTheme="majorEastAsia" w:hAnsiTheme="majorEastAsia" w:eastAsiaTheme="majorEastAsia"/>
          <w:b w:val="1"/>
          <w:sz w:val="24"/>
          <w:bdr w:val="single" w:color="000000" w:sz="4" w:space="0"/>
        </w:rPr>
      </w:pPr>
      <w:r>
        <w:rPr>
          <w:rFonts w:hint="eastAsia" w:asciiTheme="majorEastAsia" w:hAnsiTheme="majorEastAsia" w:eastAsiaTheme="majorEastAsia"/>
          <w:sz w:val="24"/>
        </w:rPr>
        <w:t>　また、高岡地域ではほ場整備工事が開始されるので、次作に向けた作物の生産性を向上させるため、産地交付金を利用した支援を行っていく。</w:t>
      </w:r>
    </w:p>
    <w:p>
      <w:pPr>
        <w:pStyle w:val="0"/>
        <w:jc w:val="left"/>
        <w:rPr>
          <w:rFonts w:hint="default" w:asciiTheme="majorEastAsia" w:hAnsiTheme="majorEastAsia" w:eastAsiaTheme="majorEastAsia"/>
          <w:b w:val="1"/>
          <w:sz w:val="24"/>
          <w:bdr w:val="single" w:color="000000" w:sz="4" w:space="0"/>
        </w:rPr>
      </w:pPr>
    </w:p>
    <w:p>
      <w:pPr>
        <w:pStyle w:val="0"/>
        <w:jc w:val="left"/>
        <w:rPr>
          <w:rFonts w:hint="default" w:asciiTheme="majorEastAsia" w:hAnsiTheme="majorEastAsia" w:eastAsiaTheme="majorEastAsia"/>
          <w:b w:val="1"/>
          <w:sz w:val="28"/>
          <w:bdr w:val="single" w:color="000000" w:sz="4" w:space="0"/>
        </w:rPr>
      </w:pPr>
      <w:r>
        <w:rPr>
          <w:rFonts w:hint="eastAsia" w:asciiTheme="majorEastAsia" w:hAnsiTheme="majorEastAsia" w:eastAsiaTheme="majorEastAsia"/>
          <w:b w:val="1"/>
          <w:sz w:val="28"/>
          <w:bdr w:val="single" w:color="000000" w:sz="4" w:space="0"/>
        </w:rPr>
        <w:t>２　作物ごとの取組方針等</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町内の約１，０７５ｈａ（不作付地を含む）の水田について、適地適作を基本として、産地交付金を有効に活用しながら、生産面積の維持・拡大を図る。</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（１）主食用米</w:t>
      </w:r>
    </w:p>
    <w:p>
      <w:pPr>
        <w:pStyle w:val="0"/>
        <w:ind w:left="210" w:leftChars="100" w:firstLine="480" w:firstLineChars="200"/>
        <w:jc w:val="left"/>
        <w:rPr>
          <w:rFonts w:hint="default" w:asciiTheme="majorEastAsia" w:hAnsiTheme="majorEastAsia" w:eastAsiaTheme="majorEastAsia"/>
          <w:sz w:val="24"/>
        </w:rPr>
      </w:pPr>
      <w:r>
        <w:rPr>
          <w:rFonts w:hint="eastAsia" w:asciiTheme="majorEastAsia" w:hAnsiTheme="majorEastAsia" w:eastAsiaTheme="majorEastAsia"/>
          <w:sz w:val="24"/>
        </w:rPr>
        <w:t>売れる米作りの徹底によって、米の生産地としての地位を確保する。前年の需要動</w:t>
      </w:r>
    </w:p>
    <w:p>
      <w:pPr>
        <w:pStyle w:val="0"/>
        <w:ind w:left="420" w:leftChars="200"/>
        <w:jc w:val="left"/>
        <w:rPr>
          <w:rFonts w:hint="default" w:asciiTheme="majorEastAsia" w:hAnsiTheme="majorEastAsia" w:eastAsiaTheme="majorEastAsia"/>
          <w:sz w:val="24"/>
        </w:rPr>
      </w:pPr>
      <w:r>
        <w:rPr>
          <w:rFonts w:hint="eastAsia" w:asciiTheme="majorEastAsia" w:hAnsiTheme="majorEastAsia" w:eastAsiaTheme="majorEastAsia"/>
          <w:sz w:val="24"/>
        </w:rPr>
        <w:t>向や集荷業者等の意向を勘案しつつ、需要に応じた生産を行う。また、中食・外食のニーズに対応した業務用米の生産と安定取引の推進を図る。</w:t>
      </w:r>
    </w:p>
    <w:p>
      <w:pPr>
        <w:pStyle w:val="0"/>
        <w:ind w:left="840" w:leftChars="40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（２）非主食用米</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ア　飼料用米</w:t>
      </w:r>
    </w:p>
    <w:p>
      <w:pPr>
        <w:pStyle w:val="0"/>
        <w:ind w:firstLine="960" w:firstLineChars="400"/>
        <w:jc w:val="left"/>
        <w:rPr>
          <w:rFonts w:hint="default" w:asciiTheme="majorEastAsia" w:hAnsiTheme="majorEastAsia" w:eastAsiaTheme="majorEastAsia"/>
          <w:sz w:val="24"/>
        </w:rPr>
      </w:pPr>
      <w:r>
        <w:rPr>
          <w:rFonts w:hint="eastAsia" w:asciiTheme="majorEastAsia" w:hAnsiTheme="majorEastAsia" w:eastAsiaTheme="majorEastAsia"/>
          <w:sz w:val="24"/>
        </w:rPr>
        <w:t>取組予定なし</w:t>
      </w:r>
    </w:p>
    <w:p>
      <w:pPr>
        <w:pStyle w:val="0"/>
        <w:ind w:left="840" w:leftChars="40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イ　米粉用米</w:t>
      </w:r>
    </w:p>
    <w:p>
      <w:pPr>
        <w:pStyle w:val="0"/>
        <w:ind w:firstLine="960" w:firstLineChars="400"/>
        <w:jc w:val="left"/>
        <w:rPr>
          <w:rFonts w:hint="default" w:asciiTheme="majorEastAsia" w:hAnsiTheme="majorEastAsia" w:eastAsiaTheme="majorEastAsia"/>
          <w:sz w:val="24"/>
        </w:rPr>
      </w:pPr>
      <w:r>
        <w:rPr>
          <w:rFonts w:hint="eastAsia" w:asciiTheme="majorEastAsia" w:hAnsiTheme="majorEastAsia" w:eastAsiaTheme="majorEastAsia"/>
          <w:sz w:val="24"/>
        </w:rPr>
        <w:t>取組予定なし</w:t>
      </w:r>
    </w:p>
    <w:p>
      <w:pPr>
        <w:pStyle w:val="0"/>
        <w:ind w:left="840" w:leftChars="40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ウ　新市場開拓用米</w:t>
      </w:r>
    </w:p>
    <w:p>
      <w:pPr>
        <w:pStyle w:val="0"/>
        <w:ind w:left="708" w:leftChars="337" w:firstLine="250" w:firstLineChars="104"/>
        <w:jc w:val="left"/>
        <w:rPr>
          <w:rFonts w:hint="default" w:asciiTheme="majorEastAsia" w:hAnsiTheme="majorEastAsia" w:eastAsiaTheme="majorEastAsia"/>
          <w:sz w:val="24"/>
        </w:rPr>
      </w:pPr>
      <w:r>
        <w:rPr>
          <w:rFonts w:hint="eastAsia" w:asciiTheme="majorEastAsia" w:hAnsiTheme="majorEastAsia" w:eastAsiaTheme="majorEastAsia"/>
          <w:sz w:val="24"/>
        </w:rPr>
        <w:t>水田活用の直接支払交付金を活用しながら、地元の集荷業者と連携し</w:t>
      </w:r>
      <w:r>
        <w:rPr>
          <w:rFonts w:hint="eastAsia" w:asciiTheme="majorEastAsia" w:hAnsiTheme="majorEastAsia" w:eastAsiaTheme="majorEastAsia"/>
          <w:sz w:val="24"/>
        </w:rPr>
        <w:t>2018</w:t>
      </w:r>
      <w:r>
        <w:rPr>
          <w:rFonts w:hint="eastAsia" w:asciiTheme="majorEastAsia" w:hAnsiTheme="majorEastAsia" w:eastAsiaTheme="majorEastAsia"/>
          <w:sz w:val="24"/>
        </w:rPr>
        <w:t>年から新市場開拓用米の作付を実施し、複数年契約も視野に生産拡大を図る。</w:t>
      </w:r>
    </w:p>
    <w:p>
      <w:pPr>
        <w:pStyle w:val="0"/>
        <w:ind w:left="840" w:leftChars="400"/>
        <w:jc w:val="left"/>
        <w:rPr>
          <w:rFonts w:hint="default" w:asciiTheme="majorEastAsia" w:hAnsiTheme="majorEastAsia" w:eastAsiaTheme="majorEastAsia"/>
          <w:sz w:val="24"/>
        </w:rPr>
      </w:pPr>
    </w:p>
    <w:p>
      <w:pPr>
        <w:pStyle w:val="0"/>
        <w:ind w:left="420" w:leftChars="200"/>
        <w:jc w:val="left"/>
        <w:rPr>
          <w:rFonts w:hint="default" w:asciiTheme="majorEastAsia" w:hAnsiTheme="majorEastAsia" w:eastAsiaTheme="majorEastAsia"/>
          <w:sz w:val="24"/>
        </w:rPr>
      </w:pPr>
      <w:r>
        <w:rPr>
          <w:rFonts w:hint="eastAsia" w:asciiTheme="majorEastAsia" w:hAnsiTheme="majorEastAsia" w:eastAsiaTheme="majorEastAsia"/>
          <w:sz w:val="24"/>
        </w:rPr>
        <w:t>エ　ＷＣＳ用稲</w:t>
      </w:r>
    </w:p>
    <w:p>
      <w:pPr>
        <w:pStyle w:val="0"/>
        <w:ind w:firstLine="960" w:firstLineChars="400"/>
        <w:jc w:val="left"/>
        <w:rPr>
          <w:rFonts w:hint="default" w:asciiTheme="majorEastAsia" w:hAnsiTheme="majorEastAsia" w:eastAsiaTheme="majorEastAsia"/>
          <w:sz w:val="24"/>
        </w:rPr>
      </w:pPr>
      <w:r>
        <w:rPr>
          <w:rFonts w:hint="eastAsia" w:asciiTheme="majorEastAsia" w:hAnsiTheme="majorEastAsia" w:eastAsiaTheme="majorEastAsia"/>
          <w:sz w:val="24"/>
        </w:rPr>
        <w:t>取組予定なし</w:t>
      </w:r>
    </w:p>
    <w:p>
      <w:pPr>
        <w:pStyle w:val="0"/>
        <w:ind w:left="840" w:leftChars="40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オ　加工用米</w:t>
      </w:r>
    </w:p>
    <w:p>
      <w:pPr>
        <w:pStyle w:val="0"/>
        <w:ind w:left="708" w:leftChars="337" w:firstLine="250" w:firstLineChars="104"/>
        <w:jc w:val="left"/>
        <w:rPr>
          <w:rFonts w:hint="default" w:asciiTheme="majorEastAsia" w:hAnsiTheme="majorEastAsia" w:eastAsiaTheme="majorEastAsia"/>
          <w:sz w:val="24"/>
        </w:rPr>
      </w:pPr>
      <w:r>
        <w:rPr>
          <w:rFonts w:hint="eastAsia" w:asciiTheme="majorEastAsia" w:hAnsiTheme="majorEastAsia" w:eastAsiaTheme="majorEastAsia"/>
          <w:sz w:val="24"/>
        </w:rPr>
        <w:t>水田活用の直接支払交付金を活用しながら、地元の集荷業者と連携しつつ加工用米の作付を推進し、生産拡大を図る。</w:t>
      </w:r>
    </w:p>
    <w:p>
      <w:pPr>
        <w:pStyle w:val="0"/>
        <w:ind w:left="840" w:leftChars="40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カ　備蓄米</w:t>
      </w:r>
    </w:p>
    <w:p>
      <w:pPr>
        <w:pStyle w:val="0"/>
        <w:ind w:firstLine="960" w:firstLineChars="400"/>
        <w:jc w:val="left"/>
        <w:rPr>
          <w:rFonts w:hint="default" w:asciiTheme="majorEastAsia" w:hAnsiTheme="majorEastAsia" w:eastAsiaTheme="majorEastAsia"/>
          <w:sz w:val="24"/>
        </w:rPr>
      </w:pPr>
      <w:r>
        <w:rPr>
          <w:rFonts w:hint="eastAsia" w:asciiTheme="majorEastAsia" w:hAnsiTheme="majorEastAsia" w:eastAsiaTheme="majorEastAsia"/>
          <w:sz w:val="24"/>
        </w:rPr>
        <w:t>政府買い入れに係る入札数量に応じて、主食用米にかわる作物として、作付面</w:t>
      </w:r>
    </w:p>
    <w:p>
      <w:pPr>
        <w:pStyle w:val="0"/>
        <w:ind w:firstLine="720" w:firstLineChars="300"/>
        <w:jc w:val="left"/>
        <w:rPr>
          <w:rFonts w:hint="default" w:asciiTheme="majorEastAsia" w:hAnsiTheme="majorEastAsia" w:eastAsiaTheme="majorEastAsia"/>
          <w:sz w:val="24"/>
        </w:rPr>
      </w:pPr>
      <w:r>
        <w:rPr>
          <w:rFonts w:hint="eastAsia" w:asciiTheme="majorEastAsia" w:hAnsiTheme="majorEastAsia" w:eastAsiaTheme="majorEastAsia"/>
          <w:sz w:val="24"/>
        </w:rPr>
        <w:t>積を拡大する。</w:t>
      </w:r>
    </w:p>
    <w:p>
      <w:pPr>
        <w:pStyle w:val="0"/>
        <w:ind w:left="1050" w:leftChars="50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（３）麦、大豆、飼料作物</w:t>
      </w:r>
    </w:p>
    <w:p>
      <w:pPr>
        <w:pStyle w:val="0"/>
        <w:ind w:left="708" w:leftChars="337" w:firstLine="283" w:firstLineChars="118"/>
        <w:jc w:val="left"/>
        <w:rPr>
          <w:rFonts w:hint="default" w:ascii="ＭＳ ゴシック" w:hAnsi="ＭＳ ゴシック" w:eastAsia="ＭＳ ゴシック"/>
          <w:sz w:val="24"/>
        </w:rPr>
      </w:pPr>
      <w:r>
        <w:rPr>
          <w:rFonts w:hint="eastAsia" w:ascii="ＭＳ ゴシック" w:hAnsi="ＭＳ ゴシック" w:eastAsia="ＭＳ ゴシック"/>
          <w:sz w:val="24"/>
        </w:rPr>
        <w:t>麦については、取組予定なし。</w:t>
      </w:r>
    </w:p>
    <w:p>
      <w:pPr>
        <w:pStyle w:val="0"/>
        <w:ind w:left="708" w:leftChars="337" w:firstLine="283" w:firstLineChars="118"/>
        <w:jc w:val="left"/>
        <w:rPr>
          <w:rFonts w:hint="default" w:ascii="ＭＳ ゴシック" w:hAnsi="ＭＳ ゴシック" w:eastAsia="ＭＳ ゴシック"/>
          <w:sz w:val="24"/>
        </w:rPr>
      </w:pPr>
      <w:r>
        <w:rPr>
          <w:rFonts w:hint="eastAsia" w:ascii="ＭＳ ゴシック" w:hAnsi="ＭＳ ゴシック" w:eastAsia="ＭＳ ゴシック"/>
          <w:sz w:val="24"/>
        </w:rPr>
        <w:t>大豆については、米の需給調整が増大する中、当町では旧戸別所得補償制度実施前に２００</w:t>
      </w:r>
      <w:r>
        <w:rPr>
          <w:rFonts w:hint="eastAsia" w:ascii="ＭＳ ゴシック" w:hAnsi="ＭＳ ゴシック" w:eastAsia="ＭＳ ゴシック"/>
          <w:sz w:val="24"/>
        </w:rPr>
        <w:t>ha</w:t>
      </w:r>
      <w:r>
        <w:rPr>
          <w:rFonts w:hint="eastAsia" w:ascii="ＭＳ ゴシック" w:hAnsi="ＭＳ ゴシック" w:eastAsia="ＭＳ ゴシック"/>
          <w:sz w:val="24"/>
        </w:rPr>
        <w:t>程の実績があった大豆団地面積が毎年減少し崩壊してきている現状を踏まえ、産地交付金を活用して、</w:t>
      </w:r>
      <w:r>
        <w:rPr>
          <w:rFonts w:hint="eastAsia" w:ascii="ＭＳ ゴシック" w:hAnsi="ＭＳ ゴシック" w:eastAsia="ＭＳ ゴシック"/>
          <w:sz w:val="24"/>
        </w:rPr>
        <w:t>60a</w:t>
      </w:r>
      <w:r>
        <w:rPr>
          <w:rFonts w:hint="eastAsia" w:ascii="ＭＳ ゴシック" w:hAnsi="ＭＳ ゴシック" w:eastAsia="ＭＳ ゴシック"/>
          <w:sz w:val="24"/>
        </w:rPr>
        <w:t>以上の連坦と更に</w:t>
      </w:r>
      <w:r>
        <w:rPr>
          <w:rFonts w:hint="eastAsia" w:ascii="ＭＳ ゴシック" w:hAnsi="ＭＳ ゴシック" w:eastAsia="ＭＳ ゴシック"/>
          <w:sz w:val="24"/>
        </w:rPr>
        <w:t>2.2ha</w:t>
      </w:r>
      <w:r>
        <w:rPr>
          <w:rFonts w:hint="eastAsia" w:ascii="ＭＳ ゴシック" w:hAnsi="ＭＳ ゴシック" w:eastAsia="ＭＳ ゴシック"/>
          <w:sz w:val="24"/>
        </w:rPr>
        <w:t>以上の２段階の団地化による低コスト生産の取組を推進し現行の作付面積の維持・拡大を図る。</w:t>
      </w:r>
    </w:p>
    <w:p>
      <w:pPr>
        <w:pStyle w:val="0"/>
        <w:ind w:left="708" w:leftChars="337" w:firstLine="283" w:firstLineChars="118"/>
        <w:jc w:val="left"/>
        <w:rPr>
          <w:rFonts w:hint="default" w:ascii="ＭＳ ゴシック" w:hAnsi="ＭＳ ゴシック" w:eastAsia="ＭＳ ゴシック"/>
          <w:sz w:val="24"/>
        </w:rPr>
      </w:pPr>
      <w:r>
        <w:rPr>
          <w:rFonts w:hint="eastAsia" w:ascii="ＭＳ ゴシック" w:hAnsi="ＭＳ ゴシック" w:eastAsia="ＭＳ ゴシック"/>
          <w:sz w:val="24"/>
        </w:rPr>
        <w:t>また、県推進枠を活用した収益力の向上及び継続的な安定販売を図る。</w:t>
      </w:r>
    </w:p>
    <w:p>
      <w:pPr>
        <w:pStyle w:val="0"/>
        <w:ind w:left="708" w:leftChars="337" w:firstLine="283" w:firstLineChars="118"/>
        <w:jc w:val="left"/>
        <w:rPr>
          <w:rFonts w:hint="default" w:asciiTheme="majorEastAsia" w:hAnsiTheme="majorEastAsia" w:eastAsiaTheme="majorEastAsia"/>
          <w:sz w:val="24"/>
        </w:rPr>
      </w:pPr>
      <w:r>
        <w:rPr>
          <w:rFonts w:hint="eastAsia" w:asciiTheme="majorEastAsia" w:hAnsiTheme="majorEastAsia" w:eastAsiaTheme="majorEastAsia"/>
          <w:sz w:val="24"/>
        </w:rPr>
        <w:t>飼料作物については取組予定なし。</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（４）そば、なたね</w:t>
      </w:r>
    </w:p>
    <w:p>
      <w:pPr>
        <w:pStyle w:val="0"/>
        <w:ind w:left="708" w:leftChars="337" w:firstLine="250" w:firstLineChars="104"/>
        <w:jc w:val="left"/>
        <w:rPr>
          <w:rFonts w:hint="default" w:ascii="ＭＳ ゴシック" w:hAnsi="ＭＳ ゴシック" w:eastAsia="ＭＳ ゴシック"/>
          <w:sz w:val="24"/>
        </w:rPr>
      </w:pPr>
      <w:r>
        <w:rPr>
          <w:rFonts w:hint="eastAsia" w:ascii="ＭＳ ゴシック" w:hAnsi="ＭＳ ゴシック" w:eastAsia="ＭＳ ゴシック"/>
          <w:sz w:val="24"/>
        </w:rPr>
        <w:t>そば、なたねについては、不作付地を有効に活用できる作物として、作付を推進する。</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（５）高収益作物（園芸作物等）</w:t>
      </w:r>
    </w:p>
    <w:p>
      <w:pPr>
        <w:pStyle w:val="0"/>
        <w:ind w:left="630" w:leftChars="300" w:firstLine="240"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集荷業者の奨励品目であるキャベツ・ホウレンソウ・南瓜・せり・ナスと、県　　　が振興する作物である枝豆・ネギ・アスパラガスを振興品目としつつ、その他の一般野菜と果樹についても集荷業者・農産物直売所と協調しつつ、産地交付金を活用し生産拡大を図る。</w:t>
      </w:r>
    </w:p>
    <w:p>
      <w:pPr>
        <w:pStyle w:val="0"/>
        <w:ind w:left="630" w:leftChars="300" w:firstLine="240"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県の重点推進野菜であり当町の振興作物でもある枝豆においては、共同選別施設による集出荷の取組や排水対策等の取組を実施し県推進枠の活用により生産性の向上及び継続的な安定販売を図る。</w:t>
      </w:r>
    </w:p>
    <w:p>
      <w:pPr>
        <w:pStyle w:val="0"/>
        <w:ind w:left="630" w:leftChars="300"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基盤整備事業を実施した水田は、地力が低下することから、地力増進作物を作　付した後すき込むことで地力を回復させ、翌年度以降の作物の収益力向上を図る。</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（６）畑地化の推進</w:t>
      </w:r>
    </w:p>
    <w:p>
      <w:pPr>
        <w:pStyle w:val="0"/>
        <w:ind w:firstLine="720" w:firstLineChars="300"/>
        <w:jc w:val="left"/>
        <w:rPr>
          <w:rFonts w:hint="default" w:asciiTheme="majorEastAsia" w:hAnsiTheme="majorEastAsia" w:eastAsiaTheme="majorEastAsia"/>
          <w:sz w:val="24"/>
        </w:rPr>
      </w:pPr>
      <w:r>
        <w:rPr>
          <w:rFonts w:hint="eastAsia" w:asciiTheme="majorEastAsia" w:hAnsiTheme="majorEastAsia" w:eastAsiaTheme="majorEastAsia"/>
          <w:sz w:val="24"/>
        </w:rPr>
        <w:t>取組予定なし。</w:t>
      </w:r>
    </w:p>
    <w:p>
      <w:pPr>
        <w:pStyle w:val="0"/>
        <w:widowControl w:val="1"/>
        <w:jc w:val="left"/>
        <w:rPr>
          <w:rFonts w:hint="default" w:asciiTheme="majorEastAsia" w:hAnsiTheme="majorEastAsia" w:eastAsiaTheme="majorEastAsia"/>
          <w:sz w:val="24"/>
        </w:rPr>
      </w:pPr>
      <w:r>
        <w:rPr>
          <w:rFonts w:hint="default" w:asciiTheme="majorEastAsia" w:hAnsiTheme="majorEastAsia" w:eastAsiaTheme="majorEastAsia"/>
          <w:sz w:val="24"/>
        </w:rPr>
        <w:br w:type="page"/>
      </w:r>
    </w:p>
    <w:p>
      <w:pPr>
        <w:pStyle w:val="0"/>
        <w:jc w:val="left"/>
        <w:rPr>
          <w:rFonts w:hint="default" w:asciiTheme="majorEastAsia" w:hAnsiTheme="majorEastAsia" w:eastAsiaTheme="majorEastAsia"/>
          <w:b w:val="1"/>
          <w:sz w:val="28"/>
          <w:bdr w:val="single" w:color="000000" w:sz="4" w:space="0"/>
        </w:rPr>
      </w:pPr>
      <w:r>
        <w:rPr>
          <w:rFonts w:hint="eastAsia" w:asciiTheme="majorEastAsia" w:hAnsiTheme="majorEastAsia" w:eastAsiaTheme="majorEastAsia"/>
          <w:b w:val="1"/>
          <w:sz w:val="28"/>
          <w:bdr w:val="single" w:color="000000" w:sz="4" w:space="0"/>
        </w:rPr>
        <w:t>３　作物ごとの作付予定面積</w:t>
      </w:r>
    </w:p>
    <w:p>
      <w:pPr>
        <w:pStyle w:val="0"/>
        <w:jc w:val="left"/>
        <w:rPr>
          <w:rFonts w:hint="default" w:asciiTheme="majorEastAsia" w:hAnsiTheme="majorEastAsia" w:eastAsiaTheme="majorEastAsia"/>
          <w:b w:val="1"/>
          <w:sz w:val="28"/>
          <w:bdr w:val="single" w:color="000000" w:sz="4" w:space="0"/>
        </w:rPr>
      </w:pPr>
      <w:r>
        <w:rPr>
          <w:rFonts w:hint="eastAsia"/>
        </w:rPr>
        <w:drawing>
          <wp:inline distT="0" distB="0" distL="203200" distR="203200">
            <wp:extent cx="5762625" cy="876300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5762625" cy="8763000"/>
                    </a:xfrm>
                    <a:prstGeom prst="rect">
                      <a:avLst/>
                    </a:prstGeom>
                  </pic:spPr>
                </pic:pic>
              </a:graphicData>
            </a:graphic>
          </wp:inline>
        </w:drawing>
      </w:r>
    </w:p>
    <w:p>
      <w:pPr>
        <w:pStyle w:val="0"/>
        <w:jc w:val="left"/>
        <w:rPr>
          <w:rFonts w:hint="default" w:asciiTheme="majorEastAsia" w:hAnsiTheme="majorEastAsia" w:eastAsiaTheme="majorEastAsia"/>
          <w:b w:val="1"/>
          <w:sz w:val="28"/>
          <w:bdr w:val="single" w:color="000000" w:sz="4" w:space="0"/>
        </w:rPr>
      </w:pPr>
      <w:r>
        <w:rPr>
          <w:rFonts w:hint="eastAsia" w:asciiTheme="majorEastAsia" w:hAnsiTheme="majorEastAsia" w:eastAsiaTheme="majorEastAsia"/>
          <w:b w:val="1"/>
          <w:sz w:val="28"/>
          <w:bdr w:val="single" w:color="000000" w:sz="4" w:space="0"/>
        </w:rPr>
        <w:t>４　課題解決に向けた取組及び目標</w:t>
      </w:r>
    </w:p>
    <w:p>
      <w:pPr>
        <w:pStyle w:val="0"/>
        <w:ind w:left="210" w:hanging="210" w:hangingChars="100"/>
        <w:jc w:val="left"/>
        <w:rPr>
          <w:rFonts w:hint="default" w:asciiTheme="majorEastAsia" w:hAnsiTheme="majorEastAsia" w:eastAsiaTheme="majorEastAsia"/>
          <w:sz w:val="20"/>
        </w:rPr>
      </w:pPr>
      <w:r>
        <w:rPr>
          <w:rFonts w:hint="eastAsia"/>
        </w:rPr>
        <w:drawing>
          <wp:inline distT="0" distB="0" distL="203200" distR="203200">
            <wp:extent cx="6120130" cy="534098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6120130" cy="5340985"/>
                    </a:xfrm>
                    <a:prstGeom prst="rect"/>
                  </pic:spPr>
                </pic:pic>
              </a:graphicData>
            </a:graphic>
          </wp:inline>
        </w:drawing>
      </w:r>
      <w:bookmarkStart w:id="0" w:name="_GoBack"/>
      <w:bookmarkEnd w:id="0"/>
    </w:p>
    <w:p>
      <w:pPr>
        <w:pStyle w:val="0"/>
        <w:ind w:left="200" w:hanging="200" w:hangingChars="100"/>
        <w:jc w:val="left"/>
        <w:rPr>
          <w:rFonts w:hint="default" w:asciiTheme="majorEastAsia" w:hAnsiTheme="majorEastAsia" w:eastAsiaTheme="majorEastAsia"/>
          <w:sz w:val="20"/>
        </w:rPr>
      </w:pPr>
    </w:p>
    <w:p>
      <w:pPr>
        <w:pStyle w:val="0"/>
        <w:ind w:left="200" w:hanging="200" w:hangingChars="100"/>
        <w:jc w:val="left"/>
        <w:rPr>
          <w:rFonts w:hint="default" w:asciiTheme="majorEastAsia" w:hAnsiTheme="majorEastAsia" w:eastAsiaTheme="majorEastAsia"/>
          <w:sz w:val="20"/>
        </w:rPr>
      </w:pPr>
      <w:r>
        <w:rPr>
          <w:rFonts w:hint="eastAsia" w:asciiTheme="majorEastAsia" w:hAnsiTheme="majorEastAsia" w:eastAsiaTheme="majorEastAsia"/>
          <w:sz w:val="20"/>
        </w:rPr>
        <w:t>※　必要に応じて、面積に加え、取組によって得られるコスト低減効果等についても目標設定して下さい。</w:t>
      </w: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　目標期間は３年以内としてください。</w:t>
      </w:r>
    </w:p>
    <w:p>
      <w:pPr>
        <w:pStyle w:val="0"/>
        <w:widowControl w:val="1"/>
        <w:jc w:val="left"/>
        <w:rPr>
          <w:rFonts w:hint="default" w:asciiTheme="majorEastAsia" w:hAnsiTheme="majorEastAsia" w:eastAsiaTheme="majorEastAsia"/>
          <w:sz w:val="20"/>
        </w:rPr>
      </w:pPr>
    </w:p>
    <w:p>
      <w:pPr>
        <w:pStyle w:val="0"/>
        <w:widowControl w:val="1"/>
        <w:jc w:val="left"/>
        <w:rPr>
          <w:rFonts w:hint="default" w:asciiTheme="majorEastAsia" w:hAnsiTheme="majorEastAsia" w:eastAsiaTheme="majorEastAsia"/>
          <w:sz w:val="20"/>
        </w:rPr>
      </w:pP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b w:val="1"/>
          <w:sz w:val="28"/>
          <w:bdr w:val="single" w:color="000000" w:sz="4" w:space="0"/>
        </w:rPr>
        <w:t>５　産地交付金の活用方法の明細</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別紙のとおり</w:t>
      </w:r>
    </w:p>
    <w:p>
      <w:pPr>
        <w:pStyle w:val="0"/>
        <w:jc w:val="left"/>
        <w:rPr>
          <w:rFonts w:hint="default" w:asciiTheme="majorEastAsia" w:hAnsiTheme="majorEastAsia" w:eastAsiaTheme="majorEastAsia"/>
          <w:sz w:val="24"/>
        </w:rPr>
      </w:pPr>
    </w:p>
    <w:sectPr>
      <w:footerReference r:id="rId5" w:type="first"/>
      <w:pgSz w:w="11906" w:h="16838"/>
      <w:pgMar w:top="1134" w:right="1134" w:bottom="1134" w:left="1134" w:header="0" w:footer="0" w:gutter="0"/>
      <w:pgNumType w:fmt="decimalFullWidth" w:start="4"/>
      <w:cols w:space="720"/>
      <w:textDirection w:val="lrTb"/>
      <w:docGrid w:type="linesAndChars" w:linePitch="3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1611581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sz w:val="36"/>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ＭＳ ゴシック" w:hAnsi="ＭＳ ゴシック" w:eastAsia="ＭＳ ゴシック"/>
      <w:sz w:val="24"/>
    </w:rPr>
  </w:style>
  <w:style w:type="character" w:styleId="16" w:customStyle="1">
    <w:name w:val="ヘッダー (文字)"/>
    <w:basedOn w:val="10"/>
    <w:next w:val="16"/>
    <w:link w:val="15"/>
    <w:uiPriority w:val="0"/>
    <w:rPr>
      <w:rFonts w:ascii="ＭＳ ゴシック" w:hAnsi="ＭＳ ゴシック" w:eastAsia="ＭＳ ゴシック"/>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標準(太郎文書スタイル)"/>
    <w:next w:val="21"/>
    <w:link w:val="0"/>
    <w:uiPriority w:val="0"/>
    <w:pPr>
      <w:widowControl w:val="0"/>
      <w:overflowPunct w:val="0"/>
      <w:adjustRightInd w:val="0"/>
      <w:jc w:val="both"/>
      <w:textAlignment w:val="baseline"/>
    </w:pPr>
    <w:rPr>
      <w:rFonts w:ascii="Times New Roman" w:hAnsi="Times New Roman" w:eastAsia="ＭＳ 明朝"/>
      <w:color w:val="000000"/>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emf" /><Relationship Id="rId7" Type="http://schemas.openxmlformats.org/officeDocument/2006/relationships/image" Target="media/image2.emf"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1039</TotalTime>
  <Pages>4</Pages>
  <Words>7</Words>
  <Characters>1486</Characters>
  <Application>JUST Note</Application>
  <Lines>86</Lines>
  <Paragraphs>46</Paragraphs>
  <Company>農林水産省</Company>
  <CharactersWithSpaces>1521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五十嵐　功</cp:lastModifiedBy>
  <cp:lastPrinted>2020-11-13T00:01:03Z</cp:lastPrinted>
  <dcterms:created xsi:type="dcterms:W3CDTF">2020-01-16T04:40:00Z</dcterms:created>
  <dcterms:modified xsi:type="dcterms:W3CDTF">2020-11-12T23:57:38Z</dcterms:modified>
  <cp:revision>30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0x010100CBC07A6C483DDF49AE17A1F650A4A158</vt:lpwstr>
  </property>
</Properties>
</file>